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5AD" w:rsidRPr="00611D34" w:rsidRDefault="002E15AD" w:rsidP="002E15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3.4</w:t>
      </w:r>
      <w:r w:rsidRPr="00611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1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Полевые лесоустроительные работы: натурная таксация леса, карточка таксац</w:t>
      </w:r>
      <w:proofErr w:type="gramStart"/>
      <w:r w:rsidRPr="00611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 и ее</w:t>
      </w:r>
      <w:proofErr w:type="gramEnd"/>
      <w:r w:rsidRPr="00611D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заполнение</w:t>
      </w:r>
    </w:p>
    <w:p w:rsidR="002E15AD" w:rsidRPr="00611D34" w:rsidRDefault="002E15AD" w:rsidP="002E15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Таксационные работы. Нормативы для разделения квартала на таксационные участки. Глазомерный метод таксации. Глазомерно-измерительный метод таксации. Выборочно-измерительный или выборочно-перечислительный метод таксации. Перечислительный метод таксации. Аналитико-измерительное дешифрирование материалов аэросъемки или космической съемки. Карточка таксац</w:t>
      </w:r>
      <w:proofErr w:type="gramStart"/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заполнение.</w:t>
      </w:r>
    </w:p>
    <w:p w:rsidR="002E15AD" w:rsidRDefault="002E15AD" w:rsidP="002E15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15AD" w:rsidRPr="00611D34" w:rsidRDefault="002E15AD" w:rsidP="002E15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Методы таксации.</w:t>
      </w:r>
    </w:p>
    <w:p w:rsidR="002E15AD" w:rsidRPr="00611D34" w:rsidRDefault="002E15AD" w:rsidP="002E15A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>2 Аналитико-измерительное дешифрирование</w:t>
      </w:r>
    </w:p>
    <w:p w:rsidR="005469EE" w:rsidRDefault="002E15AD" w:rsidP="002E15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>3 Карточка таксац</w:t>
      </w:r>
      <w:proofErr w:type="gramStart"/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611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заполнение</w:t>
      </w:r>
    </w:p>
    <w:p w:rsidR="002E15AD" w:rsidRPr="002E15AD" w:rsidRDefault="002E15AD" w:rsidP="002E15AD">
      <w:pPr>
        <w:keepNext/>
        <w:keepLines/>
        <w:numPr>
          <w:ilvl w:val="1"/>
          <w:numId w:val="1"/>
        </w:numPr>
        <w:spacing w:before="280" w:after="280" w:line="240" w:lineRule="auto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bookmarkStart w:id="0" w:name="_Toc281846916"/>
      <w:r w:rsidRPr="002E15AD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Полевые таксационные работы</w:t>
      </w:r>
      <w:bookmarkEnd w:id="0"/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Первичной </w:t>
      </w:r>
      <w:proofErr w:type="spell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лесоучетной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единицей в лесном предприятии является </w:t>
      </w: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квартал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. В равнинных условиях кварталы имеют правильную геометрическую форму, так как при их создании прорубают просеки восток–запад и север–юг. В горных условиях форма кварталов </w:t>
      </w:r>
      <w:proofErr w:type="spell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неправлиьная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поскольку квартальными границами служат: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вершины хребтов,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тальвеги ущелий,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горные реки,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ручьи,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дороги. 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общем объеме лесоустроительных работ лесотаксационные работы занимают важное место. Они сводятся к расчленению квартала на таксационные участки и их описанию.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Таксационный участок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– первичная лесохозяйственная учетная единица, однородная по хозяйственному значению и таксационной характеристике. По этим признакам он отличается от смежных участков и требует проведения однородных хозяйственных мероприятий. Основанием для выделения самостоятельных таксационных участков служит различие в категориях земель и таксационной характеристике насаждения.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Минимальные размеры площади таксационного участка определяются организационно-техническими показателями разрядов лесоустройства (табл. 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_Ref127617217 \r \h </w:instrTex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10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</w:t>
      </w:r>
    </w:p>
    <w:p w:rsidR="002E15AD" w:rsidRPr="002E15AD" w:rsidRDefault="002E15AD" w:rsidP="002E15AD">
      <w:pPr>
        <w:keepNext/>
        <w:keepLines/>
        <w:widowControl w:val="0"/>
        <w:spacing w:before="280" w:after="28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Табл. </w:t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1" w:name="_Ref127617217"/>
      <w:bookmarkEnd w:id="1"/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Таблицы </w:instrText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Основные организационно-технические показатели разряда лесоустройства</w:t>
      </w:r>
    </w:p>
    <w:tbl>
      <w:tblPr>
        <w:tblW w:w="8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4"/>
        <w:gridCol w:w="719"/>
        <w:gridCol w:w="720"/>
        <w:gridCol w:w="720"/>
        <w:gridCol w:w="720"/>
        <w:gridCol w:w="720"/>
        <w:gridCol w:w="720"/>
        <w:gridCol w:w="724"/>
      </w:tblGrid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77" w:type="dxa"/>
            <w:vMerge w:val="restart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Организационно-технический показатель</w:t>
            </w:r>
          </w:p>
        </w:tc>
        <w:tc>
          <w:tcPr>
            <w:tcW w:w="5040" w:type="dxa"/>
            <w:gridSpan w:val="7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Разряд лесоустройства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477" w:type="dxa"/>
            <w:vMerge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gridSpan w:val="3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6" w:type="dxa"/>
            <w:gridSpan w:val="2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4" w:type="dxa"/>
            <w:gridSpan w:val="2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3477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Размер квартала, </w:t>
            </w:r>
            <w:proofErr w:type="gramStart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0,5х</w:t>
            </w:r>
            <w:proofErr w:type="gramStart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</w:t>
            </w:r>
            <w:proofErr w:type="gramEnd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1,0х</w:t>
            </w:r>
            <w:proofErr w:type="gramStart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</w:t>
            </w:r>
            <w:proofErr w:type="gramEnd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1,0х</w:t>
            </w:r>
            <w:proofErr w:type="gramStart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  <w:proofErr w:type="gramEnd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1,0х</w:t>
            </w:r>
            <w:proofErr w:type="gramStart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  <w:proofErr w:type="gramEnd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2,0х</w:t>
            </w:r>
            <w:proofErr w:type="gramStart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  <w:proofErr w:type="gramEnd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2,0х</w:t>
            </w:r>
            <w:proofErr w:type="gramStart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  <w:proofErr w:type="gramEnd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4,0х</w:t>
            </w:r>
            <w:proofErr w:type="gramStart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  <w:proofErr w:type="gramEnd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,0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3477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Площадь квартала, </w:t>
            </w:r>
            <w:proofErr w:type="gramStart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800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77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Размер среднего таксационного участка</w:t>
            </w:r>
          </w:p>
        </w:tc>
        <w:tc>
          <w:tcPr>
            <w:tcW w:w="2160" w:type="dxa"/>
            <w:gridSpan w:val="3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3-5</w:t>
            </w:r>
          </w:p>
        </w:tc>
        <w:tc>
          <w:tcPr>
            <w:tcW w:w="1436" w:type="dxa"/>
            <w:gridSpan w:val="2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6-15</w:t>
            </w:r>
          </w:p>
        </w:tc>
        <w:tc>
          <w:tcPr>
            <w:tcW w:w="1444" w:type="dxa"/>
            <w:gridSpan w:val="2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16-35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3477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Расстояние между ходовыми линиями:</w:t>
            </w:r>
          </w:p>
          <w:p w:rsidR="002E15AD" w:rsidRPr="002E15AD" w:rsidRDefault="002E15AD" w:rsidP="002E15AD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 применением аэрофотоснимков</w:t>
            </w:r>
          </w:p>
          <w:p w:rsidR="002E15AD" w:rsidRPr="002E15AD" w:rsidRDefault="002E15AD" w:rsidP="002E15AD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без применения аэрофотоснимков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250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500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500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500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1000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1000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500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3477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Минимальный километраж таксационных ходов на 1000 га:</w:t>
            </w:r>
          </w:p>
          <w:p w:rsidR="002E15AD" w:rsidRPr="002E15AD" w:rsidRDefault="002E15AD" w:rsidP="002E15AD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с применением аэрофотоснимков</w:t>
            </w:r>
          </w:p>
          <w:p w:rsidR="002E15AD" w:rsidRPr="002E15AD" w:rsidRDefault="002E15AD" w:rsidP="002E15AD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без применения аэрофотоснимков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60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60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45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45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17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14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23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3477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Минимальная площадь таксационного участка:</w:t>
            </w:r>
          </w:p>
          <w:p w:rsidR="002E15AD" w:rsidRPr="002E15AD" w:rsidRDefault="002E15AD" w:rsidP="002E15AD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насаждения естественного происхождения</w:t>
            </w:r>
          </w:p>
          <w:p w:rsidR="002E15AD" w:rsidRPr="002E15AD" w:rsidRDefault="002E15AD" w:rsidP="002E15AD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лесные культуры</w:t>
            </w:r>
          </w:p>
          <w:p w:rsidR="002E15AD" w:rsidRPr="002E15AD" w:rsidRDefault="002E15AD" w:rsidP="002E15AD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спелый лес среди молодняков</w:t>
            </w:r>
          </w:p>
          <w:p w:rsidR="002E15AD" w:rsidRPr="002E15AD" w:rsidRDefault="002E15AD" w:rsidP="002E15AD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молодняки среди спелых лесов</w:t>
            </w:r>
          </w:p>
          <w:p w:rsidR="002E15AD" w:rsidRPr="002E15AD" w:rsidRDefault="002E15AD" w:rsidP="002E15AD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молодняки среди других категорий земель</w:t>
            </w:r>
          </w:p>
          <w:p w:rsidR="002E15AD" w:rsidRPr="002E15AD" w:rsidRDefault="002E15AD" w:rsidP="002E15AD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непокрытые лесом земли</w:t>
            </w:r>
          </w:p>
          <w:p w:rsidR="002E15AD" w:rsidRPr="002E15AD" w:rsidRDefault="002E15AD" w:rsidP="002E15AD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угодья</w:t>
            </w:r>
          </w:p>
          <w:p w:rsidR="002E15AD" w:rsidRPr="002E15AD" w:rsidRDefault="002E15AD" w:rsidP="002E15AD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земли специального назначения</w:t>
            </w:r>
          </w:p>
          <w:p w:rsidR="002E15AD" w:rsidRPr="002E15AD" w:rsidRDefault="002E15AD" w:rsidP="002E15AD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неиспользуемые земли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1,0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0,1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0,5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0,5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0,5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0,5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0,1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0,1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3,0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0,1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1,0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1,0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1,0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1,0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0,1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0,1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5,0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0,6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3,0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3,0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3,0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3,0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0,6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3,0</w:t>
            </w: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Лесной фонд делится на лесные и нелесные площади. К </w:t>
      </w: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лесным площадям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относят земельные участки, предназначенные для выращивания леса. В свою очередь их делят </w:t>
      </w: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покрытые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лесом,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не покрытые лесом и </w:t>
      </w:r>
      <w:proofErr w:type="spell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несомкнувшиеся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лесные культуры,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лесные плантации и питомники,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покрытые лесом непродуктивные земли.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К </w:t>
      </w: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покрытой лесом площади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относятся: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естественные и искусственно созданные молодняки с полнотой 0,4 и выше,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насаждения других возрастных категорий с полнотой 0,3 и выше,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закустаренные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земли, на которых без проведения специальных работ не могут быть созданы насаждения,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закустаренные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земли, на которых организуются специализированные кустарниковые хозяйства.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Покрытая лесом площадь делится на таксационные участки по различию насаждений </w:t>
      </w: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происхождении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форме,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составе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возрасте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полноте,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типе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леса,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классе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бонитета,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товарности,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среднем диаметре (для </w:t>
      </w: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спелых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устройстве горных лесов, зеленых зон могут устанавливаться дополнительные признаки разделения земель на таксационные участки.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Не </w:t>
      </w: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покрытые лесом земли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– это: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вырубки,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лесосеки (отведенные и переданные по лесорубочным билетам в 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сплошную рубку на год производства полевых лесоустроительных работ),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прогалины,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пустыри,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редины,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гари,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погибшие насаждения.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К </w:t>
      </w: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нелесным площадям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относят: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пески,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болота,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скалы,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гольцевые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зоны,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каменистые россыпи,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безлесные крутые склоны,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пашни,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сенокосы,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пастбища,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выгоны,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воды,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лесные дороги,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просеки,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пожарные разрывы,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трассы линий электропередач,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усадьбы,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сады,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виноградники,</w:t>
      </w:r>
    </w:p>
    <w:p w:rsidR="002E15AD" w:rsidRPr="002E15AD" w:rsidRDefault="002E15AD" w:rsidP="002E15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торфоразработки.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 происхождению насаждения разделяют </w:t>
      </w: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семенные естественного происхождения,</w:t>
      </w:r>
      <w:proofErr w:type="gramEnd"/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порослевые естественного происхождения,</w:t>
      </w:r>
      <w:proofErr w:type="gramEnd"/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лесные культуры, подразделяемые </w:t>
      </w: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:</w:t>
      </w:r>
    </w:p>
    <w:p w:rsidR="002E15AD" w:rsidRPr="002E15AD" w:rsidRDefault="002E15AD" w:rsidP="002E15AD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сомкнувшиеся лесные культуры,</w:t>
      </w:r>
    </w:p>
    <w:p w:rsidR="002E15AD" w:rsidRPr="002E15AD" w:rsidRDefault="002E15AD" w:rsidP="002E15AD">
      <w:pPr>
        <w:widowControl w:val="0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несомкнувшиеся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лесные культуры (учитываются как отдельная категория лесных земель).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Таксация древостоев осуществляется по элементам леса с выделением ярусов растительности, а в пределах яруса леса – с выделением каждого поколения по составляющим древесным видам.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Условия выделения самостоятельных таксационных участков: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разделяются одновозрастные и разновозрастные древостои;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разница в коэффициенте состава на 2 и более единицы;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наличие 10% особо ценных или дикоплодовых древесных видов;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различие в группах возраста;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разница в возрасте на один класс возраста;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отличие на один класс товарности (для приспевающих, спелых и перестойных насаждений);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разница в полноте основного яруса древостоя на 0,2 и более;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отличие по продуктивности на один класс бонитета;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различия по средней высоте основного элемента леса на 10% и более.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таксации леса предусмотрены необходимые критерии точности определения таксационных показателей (табл. 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_Ref128242274 \r \h </w:instrTex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11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</w:t>
      </w:r>
    </w:p>
    <w:p w:rsidR="002E15AD" w:rsidRPr="002E15AD" w:rsidRDefault="002E15AD" w:rsidP="002E15AD">
      <w:pPr>
        <w:keepNext/>
        <w:keepLines/>
        <w:widowControl w:val="0"/>
        <w:spacing w:before="280" w:after="28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Табл. </w:t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2" w:name="_Ref128242274"/>
      <w:bookmarkEnd w:id="2"/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Таблицы </w:instrText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Допустимые погрешности определения таксационных показателей</w:t>
      </w:r>
      <w:proofErr w:type="gramStart"/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(±) 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по разрядам лесоустройства и категориям насаждений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720"/>
        <w:gridCol w:w="720"/>
        <w:gridCol w:w="1260"/>
        <w:gridCol w:w="720"/>
        <w:gridCol w:w="1080"/>
      </w:tblGrid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40" w:type="dxa"/>
            <w:vMerge w:val="restart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Категория насаждений</w:t>
            </w:r>
          </w:p>
        </w:tc>
        <w:tc>
          <w:tcPr>
            <w:tcW w:w="900" w:type="dxa"/>
            <w:vMerge w:val="restart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Разряды лесоустройства</w:t>
            </w:r>
          </w:p>
        </w:tc>
        <w:tc>
          <w:tcPr>
            <w:tcW w:w="1440" w:type="dxa"/>
            <w:gridSpan w:val="2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gramStart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Средние</w:t>
            </w:r>
            <w:proofErr w:type="gramEnd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 для яруса</w:t>
            </w:r>
          </w:p>
        </w:tc>
        <w:tc>
          <w:tcPr>
            <w:tcW w:w="1980" w:type="dxa"/>
            <w:gridSpan w:val="2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Средние для основного элемента леса</w:t>
            </w:r>
          </w:p>
        </w:tc>
        <w:tc>
          <w:tcPr>
            <w:tcW w:w="1080" w:type="dxa"/>
            <w:vMerge w:val="restart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Количество подроста на 1 га, %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40" w:type="dxa"/>
            <w:vMerge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запас на 1 га, %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высота, %</w:t>
            </w:r>
          </w:p>
        </w:tc>
        <w:tc>
          <w:tcPr>
            <w:tcW w:w="126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коэффициент состава, ед.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диаметр, %</w:t>
            </w:r>
          </w:p>
        </w:tc>
        <w:tc>
          <w:tcPr>
            <w:tcW w:w="1080" w:type="dxa"/>
            <w:vMerge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40" w:type="dxa"/>
            <w:vMerge w:val="restart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Все насаждения, назначаемые в предстоящем ревизионном периоде в рубки главного пользования</w:t>
            </w:r>
          </w:p>
        </w:tc>
        <w:tc>
          <w:tcPr>
            <w:tcW w:w="90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20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40" w:type="dxa"/>
            <w:vMerge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25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Насаждения, назначаемые в предстоящем ревизионном периоде в прореживание и проходные рубки</w:t>
            </w:r>
          </w:p>
        </w:tc>
        <w:tc>
          <w:tcPr>
            <w:tcW w:w="90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25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Молодняки, в которых назначены осветление, прочистка или реконструкция </w:t>
            </w:r>
          </w:p>
        </w:tc>
        <w:tc>
          <w:tcPr>
            <w:tcW w:w="90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1-3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–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40" w:type="dxa"/>
            <w:vMerge w:val="restart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Насаждения 4 класса бонитета и выше, в которых не запроектированы </w:t>
            </w:r>
            <w:proofErr w:type="spellStart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хозмероприятия</w:t>
            </w:r>
            <w:proofErr w:type="spellEnd"/>
          </w:p>
        </w:tc>
        <w:tc>
          <w:tcPr>
            <w:tcW w:w="90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25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40" w:type="dxa"/>
            <w:vMerge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2-3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30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40" w:type="dxa"/>
            <w:vMerge w:val="restart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Малоценные и </w:t>
            </w:r>
            <w:proofErr w:type="spellStart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низкобонитетные</w:t>
            </w:r>
            <w:proofErr w:type="spellEnd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 xml:space="preserve"> насаждения, в которых не назначены </w:t>
            </w:r>
            <w:proofErr w:type="spellStart"/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хозмероприятия</w:t>
            </w:r>
            <w:proofErr w:type="spellEnd"/>
          </w:p>
        </w:tc>
        <w:tc>
          <w:tcPr>
            <w:tcW w:w="90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30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40" w:type="dxa"/>
            <w:vMerge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E15AD">
              <w:rPr>
                <w:rFonts w:ascii="Times New Roman" w:eastAsia="Arial Unicode MS" w:hAnsi="Times New Roman" w:cs="Times New Roman"/>
                <w:snapToGrid w:val="0"/>
                <w:sz w:val="20"/>
                <w:szCs w:val="20"/>
                <w:lang w:eastAsia="ru-RU"/>
              </w:rPr>
              <w:t>30</w:t>
            </w:r>
          </w:p>
        </w:tc>
      </w:tr>
    </w:tbl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Таксация леса производится глазомерно-измерительным, глазомерным или дешифровочным методом, а также сочетанием наземной таксации с камеральным дешифрированием аэрофотоснимков.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Назначаемые в рубку главного пользования или лесовосстановительную рубку древостои таксируются </w:t>
      </w: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глазомерно-измерительным методом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 xml:space="preserve">При устройстве лесов по 1 разряду 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таксируются: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глазомерно-измерительным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методом – все древостои, за исключением молодняков,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глазомерным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методом – молодняки.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При устройстве лесов по 2 разряду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таксируются: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spellStart"/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глазомеро</w:t>
      </w:r>
      <w:proofErr w:type="spellEnd"/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-измерительным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методом – отведенные в рубку древостои,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глазомерным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методом с частичным применением измерительных методов – остальные древостои.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При устройстве лесов по 3 разряду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таксируются: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глазомерно-измерительным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методом – отведенные в рубку выходящие на ходовые линии насаждения,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глазомерным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методом остальные насаждения, выходящие на ходовые линии,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lastRenderedPageBreak/>
        <w:t>дешифровочным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методом – </w:t>
      </w: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насаждения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не выходящие на ходовые линии.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таксации леса заполняется карточка таксации, в которую заносится вся информация о насаждении по каждому таксационному участку. Содержание карточки таксации обусловлено ОСТ 56–22–74 "Формы полевой документации. Карточка таксации".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Определены </w:t>
      </w:r>
      <w:proofErr w:type="spell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придержки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регламентирующие выделение яруса древесной растительности.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Ярус выделяется при полноте от 0,3 и выше и при разнице в средних высотах ярусов не менее 20%.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Из выделенных ярусов древостоя один, имеющий наибольшее хозяйственное значение, признается основным.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Если разница в возрастах элементов леса в древостое достигает двух и более классов возраста и их невозможно разделить по ярусам, то такие древостои таксируются по поколениям.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Для каждого яруса указывается видовой состав по процентному содержанию запасов древесных видов. Сведения о видовом составе заносят в виде формулы с обозначением символами древесного вида и его доли участия в составе в целых единицах. Сумма коэффициентов состава равна 10 единиц (ед.). Если запас древесного вида в общем запасе доходит до 5%, его участие в формуле обозначается "+" (в карточку таксации "+" не записывается). В формуле на первое место ставят преобладающую породу. 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Порода считается </w:t>
      </w: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преобладающей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если она составляет наибольшую долю в общем запасе насаждения (яруса).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i/>
          <w:iCs/>
          <w:snapToGrid w:val="0"/>
          <w:sz w:val="28"/>
          <w:szCs w:val="20"/>
          <w:lang w:eastAsia="ru-RU"/>
        </w:rPr>
        <w:t>Главной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породой в насаждении считается та, которая в конкретных условиях местопроизрастания наиболее отвечает целям хозяйства.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Главная порода считается преобладающей, если доля ее запаса в средневозрастных, приспевающих, спелых насаждениях составляет 5/10, для дуба, клена, ясеня, липы и других особо ценных древесных пород – 4/10 общего запаса насаждения (яруса).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наличии в составе простого насаждения или яруса в сложных насаждениях нескольких хозяйственно ценных хвойных или твердолиственных пород древостой относится соответственно к хвойному или твердолиственному насаждению, если суммарный запас хвойных пород составляет не менее 5/10, а твердолиственных 4/10 общего запаса насаждения (яруса).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молодняках преобладающей породой считается главная порода при доле ее участия во втором классе возраста на 1/10, а в первом классе возраста на 2/10 </w:t>
      </w: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меньшей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чем указано выше.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Главной породой в смешанных по составу насаждениях (ярусах) считается хвойная или твердолиственная порода, имеющая наибольший запас, а при равных запасах – большую хозяйственную ценность.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наличии в составе простого насаждения или яруса в сложном древостое нескольких пород, часть которых по биологическим особенностям может быть объединена в группы (хвойные, твердолиственные, </w:t>
      </w:r>
      <w:proofErr w:type="spell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мягколиственные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), главной породой считается преобладающая по запасу в группе (имеющая в этой группе наибольший запас), а при равновеликих 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запасах – большую хозяйственную ценность.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Хозяйственная ценность древесных видов определяется первым лесоустроительным совещанием.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относительной </w:t>
      </w:r>
      <w:proofErr w:type="spell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одновозрастности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средний возраст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для древостоя может записываться в целом, а при разнице в возрастах в один класс и более указывается для каждого древесного вида.</w:t>
      </w:r>
      <w:proofErr w:type="gramEnd"/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Класс бонитета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для основного элемента леса устанавливается </w:t>
      </w: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средним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возрасту и высоте. Класс бонитета и тип леса увязываются с местной типологической схемой.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Относительную полноту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для каждого яруса определяют глазомерно, измерительной или перечислительной таксацией.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Запас стволовой древесины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находят по стандартным таблицам для каждого яруса древостоя. При устройстве леса по 1-2 разрядам запас учитываемой мертвой древесины должен составлять 5 м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3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более, а при устройстве по 3 разряду минимальный предел его устанавливается первым лесоустроительным совещанием.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На каждом таксационном участке описываются </w:t>
      </w: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подрост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</w:t>
      </w: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подлесок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напочвенный покров и почва.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таксации </w:t>
      </w: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лесных культур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указывают год их создания и категорию земель, на которой они созданы. </w:t>
      </w:r>
      <w:proofErr w:type="spell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Несомкнувшиеся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лесные культуры выделяют в отдельные таксационные участки.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</w:t>
      </w: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таксации не покрытых лесом площадей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указывается, за </w:t>
      </w: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счет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чего или </w:t>
      </w: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какого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древостоя они образовались, а также степень возобновления.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Отведенные в рубку на перспективу, но не вырубленные на момент лесоустройства участки леса таксируются как </w:t>
      </w: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лесосеки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. 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Записи в карточке таксации ведутся с определенной градацией (табл. 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_Ref128296450 \r \h </w:instrTex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12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). 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Для приспевающих, спелых и перестойных древостоев в карточке таксации указывается </w:t>
      </w: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класс товарности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определенный как по проценту деловых деревьев в древостое, так и по проценту выхода деловой древесины. Действующей лесоустроительной инструкцией установлены четыре класса товарности (табл. 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_Ref128297851 \r \h </w:instrTex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13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</w:t>
      </w:r>
    </w:p>
    <w:p w:rsidR="002E15AD" w:rsidRPr="002E15AD" w:rsidRDefault="002E15AD" w:rsidP="002E15AD">
      <w:pPr>
        <w:keepNext/>
        <w:keepLines/>
        <w:widowControl w:val="0"/>
        <w:spacing w:before="280" w:after="28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Таблица </w:t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3" w:name="_Ref128296450"/>
      <w:bookmarkEnd w:id="3"/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Таблицы </w:instrText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Единицы измерения и градация определения значений таксационных параметров древостоев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1980"/>
        <w:gridCol w:w="1946"/>
      </w:tblGrid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Параметры древостоя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Производственная таксация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Исследовательские работы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Средняя высота до 5 м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0,5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0,1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Средняя высота более 5 м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1,0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0,1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Средний диаметр до 32 см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2,0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0,1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Средний диаметр более 32 см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4,0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0,1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Запас </w:t>
            </w:r>
            <w:proofErr w:type="spellStart"/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сырорастущего</w:t>
            </w:r>
            <w:proofErr w:type="spellEnd"/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леса до 50 м</w:t>
            </w: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  <w:t>3</w:t>
            </w: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/га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5,0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1,0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Запас </w:t>
            </w:r>
            <w:proofErr w:type="spellStart"/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сырорастущего</w:t>
            </w:r>
            <w:proofErr w:type="spellEnd"/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леса более 50 м</w:t>
            </w: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  <w:t>3</w:t>
            </w: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/га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10,0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1,0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Запас единичных деревьев, сухостоя и захламленности при 1-2 разряде лесоустройства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5,0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1,0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lastRenderedPageBreak/>
              <w:t>Запас единичных деревьев, сухостоя и захламленности при 3 разряде лесоустройства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10,0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1,0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Сумма площадей сечения древостоя, м</w:t>
            </w:r>
            <w:proofErr w:type="gramStart"/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0,5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0,1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Коэффициент состава древостоя, %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Возраст до 10 лет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 год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Возраст от 11 до 100 лет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5 лет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Возраст 101 год и более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10 лет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Класс бонитета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Класс товарности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1% выхода деловой древесины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4788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Количество подроста на 1 га, тыс. шт.</w:t>
            </w:r>
          </w:p>
        </w:tc>
        <w:tc>
          <w:tcPr>
            <w:tcW w:w="198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0,5</w:t>
            </w:r>
          </w:p>
        </w:tc>
        <w:tc>
          <w:tcPr>
            <w:tcW w:w="19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0,1</w:t>
            </w:r>
          </w:p>
        </w:tc>
      </w:tr>
    </w:tbl>
    <w:p w:rsidR="002E15AD" w:rsidRPr="002E15AD" w:rsidRDefault="002E15AD" w:rsidP="002E15AD">
      <w:pPr>
        <w:keepNext/>
        <w:keepLines/>
        <w:widowControl w:val="0"/>
        <w:spacing w:before="280" w:after="28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Таблица </w:t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4" w:name="_Ref128297851"/>
      <w:bookmarkEnd w:id="4"/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Таблицы </w:instrText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Шкала разделения древостоев по классам товарности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42"/>
        <w:gridCol w:w="1246"/>
        <w:gridCol w:w="2240"/>
        <w:gridCol w:w="1360"/>
        <w:gridCol w:w="2126"/>
      </w:tblGrid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42" w:type="dxa"/>
            <w:vMerge w:val="restart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Класс товарности</w:t>
            </w:r>
          </w:p>
        </w:tc>
        <w:tc>
          <w:tcPr>
            <w:tcW w:w="3486" w:type="dxa"/>
            <w:gridSpan w:val="2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Хвойные древостои, кроме лиственницы</w:t>
            </w:r>
          </w:p>
        </w:tc>
        <w:tc>
          <w:tcPr>
            <w:tcW w:w="3486" w:type="dxa"/>
            <w:gridSpan w:val="2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Лиственные древостои и лиственница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42" w:type="dxa"/>
            <w:vMerge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6972" w:type="dxa"/>
            <w:gridSpan w:val="4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Выход деловой древесины, %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42" w:type="dxa"/>
            <w:vMerge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2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 запасу</w:t>
            </w:r>
          </w:p>
        </w:tc>
        <w:tc>
          <w:tcPr>
            <w:tcW w:w="224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 количеству деловых деревьев</w:t>
            </w:r>
          </w:p>
        </w:tc>
        <w:tc>
          <w:tcPr>
            <w:tcW w:w="136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 запасу</w:t>
            </w:r>
          </w:p>
        </w:tc>
        <w:tc>
          <w:tcPr>
            <w:tcW w:w="212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 количеству деловых деревьев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Первый</w:t>
            </w:r>
          </w:p>
        </w:tc>
        <w:tc>
          <w:tcPr>
            <w:tcW w:w="12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81 и &gt;</w:t>
            </w:r>
          </w:p>
        </w:tc>
        <w:tc>
          <w:tcPr>
            <w:tcW w:w="224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91 и &gt;</w:t>
            </w:r>
          </w:p>
        </w:tc>
        <w:tc>
          <w:tcPr>
            <w:tcW w:w="136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71 и &gt;</w:t>
            </w:r>
          </w:p>
        </w:tc>
        <w:tc>
          <w:tcPr>
            <w:tcW w:w="212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91 и &gt;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Второй</w:t>
            </w:r>
          </w:p>
        </w:tc>
        <w:tc>
          <w:tcPr>
            <w:tcW w:w="12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61 – 80</w:t>
            </w:r>
          </w:p>
        </w:tc>
        <w:tc>
          <w:tcPr>
            <w:tcW w:w="224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71 – 90</w:t>
            </w:r>
          </w:p>
        </w:tc>
        <w:tc>
          <w:tcPr>
            <w:tcW w:w="136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51 – 70</w:t>
            </w:r>
          </w:p>
        </w:tc>
        <w:tc>
          <w:tcPr>
            <w:tcW w:w="212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66 – 90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Третий</w:t>
            </w:r>
          </w:p>
        </w:tc>
        <w:tc>
          <w:tcPr>
            <w:tcW w:w="12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до 60</w:t>
            </w:r>
          </w:p>
        </w:tc>
        <w:tc>
          <w:tcPr>
            <w:tcW w:w="224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до 70</w:t>
            </w:r>
          </w:p>
        </w:tc>
        <w:tc>
          <w:tcPr>
            <w:tcW w:w="136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31 – 50</w:t>
            </w:r>
          </w:p>
        </w:tc>
        <w:tc>
          <w:tcPr>
            <w:tcW w:w="212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41 – 66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1742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Четвертый</w:t>
            </w:r>
          </w:p>
        </w:tc>
        <w:tc>
          <w:tcPr>
            <w:tcW w:w="124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–</w:t>
            </w:r>
          </w:p>
        </w:tc>
        <w:tc>
          <w:tcPr>
            <w:tcW w:w="224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–</w:t>
            </w:r>
          </w:p>
        </w:tc>
        <w:tc>
          <w:tcPr>
            <w:tcW w:w="1360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до 30</w:t>
            </w:r>
          </w:p>
        </w:tc>
        <w:tc>
          <w:tcPr>
            <w:tcW w:w="2126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до 40</w:t>
            </w:r>
          </w:p>
        </w:tc>
      </w:tr>
    </w:tbl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отдельные таксационные участки выделяются насаждения, поврежденные болезнями и </w:t>
      </w:r>
      <w:proofErr w:type="spell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гнилями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с выходом деловой древесины 20% и менее.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Класс товарности, указанный для таксационного участка, учитывается при назначении в рубку древостоя и вписывается в "Ведомость главной рубки". При разделении назначаемого в рубку запаса древостоя на сортименты используются товарные таблицы соответствующего класса товарности, что позволяет объективно оценить качество сырья принятой годичной лесосеки.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описании </w:t>
      </w: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сенокосов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</w:t>
      </w: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пастбищ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указывается их состояние и качество, степень зарастания древесно-кустарниковой растительностью. В зависимости от качества они оцениваются как: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хорошие,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средние,</w:t>
      </w:r>
    </w:p>
    <w:p w:rsidR="002E15AD" w:rsidRPr="002E15AD" w:rsidRDefault="002E15AD" w:rsidP="002E15AD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плохие. 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таксации </w:t>
      </w: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болот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указываются их тип (верховое, переходное, низинное), тип растительности (осоковая, сфагновая, тростниковая), наличие клюквы и ее урожайность, характеристика древесно-кустарниковой растительности.</w:t>
      </w:r>
      <w:proofErr w:type="gramEnd"/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Описываются все проходящие через квартал </w:t>
      </w:r>
      <w:r w:rsidRPr="002E15AD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дороги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указываются их 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назначение, тип.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таксации леса составляется абрис на восковке (рис. 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_Ref128679131 \r \h </w:instrTex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3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) или на аэрофотоснимке (рис. 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_Ref128796532 \r \h </w:instrTex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4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_Ref128796533 \r \h </w:instrTex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5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Каждый таксационный участок нумеруется. Нумерация участков производится только в целом для квартала (независимо от принадлежности его к категории </w:t>
      </w:r>
      <w:proofErr w:type="spell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защитности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) арабскими цифрами последовательно с северо-западного угла квартала к </w:t>
      </w: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юго-восточному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 использовании глазомерно-измерительного метода натурная глазомерная таксация сочетается с закладкой </w:t>
      </w:r>
      <w:proofErr w:type="spell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реласкопических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круговых площадок (табл. 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_Ref128797344 \r \h </w:instrTex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14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). Размер площадок зависит от среднего диаметра и полноты древостоя (табл. 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begin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instrText xml:space="preserve"> REF _Ref128893569 \r \h </w:instrTex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separate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15</w:t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fldChar w:fldCharType="end"/>
      </w:r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). Средняя высота элемента леса определяется путем инструментального измерения высоты у 3–5 деревьев, близких </w:t>
      </w:r>
      <w:proofErr w:type="gramStart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</w:t>
      </w:r>
      <w:proofErr w:type="gramEnd"/>
      <w:r w:rsidRPr="002E15A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средним.</w:t>
      </w:r>
    </w:p>
    <w:p w:rsidR="002E15AD" w:rsidRPr="002E15AD" w:rsidRDefault="002E15AD" w:rsidP="002E15AD">
      <w:pPr>
        <w:keepNext/>
        <w:keepLines/>
        <w:widowControl w:val="0"/>
        <w:spacing w:before="280" w:after="28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Таблица </w:t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begin"/>
      </w:r>
      <w:bookmarkStart w:id="5" w:name="_Ref128797344"/>
      <w:bookmarkEnd w:id="5"/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instrText xml:space="preserve"> LISTNUM Таблицы </w:instrText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fldChar w:fldCharType="end"/>
      </w:r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Количество </w:t>
      </w:r>
      <w:proofErr w:type="spellStart"/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реласкопических</w:t>
      </w:r>
      <w:proofErr w:type="spellEnd"/>
      <w:r w:rsidRPr="002E15AD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и круговых площадок, закладываемых при глазомерно-измерительном методе таксации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4"/>
        <w:gridCol w:w="1245"/>
        <w:gridCol w:w="1245"/>
        <w:gridCol w:w="1245"/>
        <w:gridCol w:w="1245"/>
        <w:gridCol w:w="1245"/>
        <w:gridCol w:w="1245"/>
      </w:tblGrid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4" w:type="dxa"/>
            <w:vMerge w:val="restart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Площадь выдела, </w:t>
            </w:r>
            <w:proofErr w:type="gramStart"/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7470" w:type="dxa"/>
            <w:gridSpan w:val="6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Полнота древостоя при точности определения запаса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4" w:type="dxa"/>
            <w:vMerge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3735" w:type="dxa"/>
            <w:gridSpan w:val="3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± 10 %</w:t>
            </w:r>
          </w:p>
        </w:tc>
        <w:tc>
          <w:tcPr>
            <w:tcW w:w="3735" w:type="dxa"/>
            <w:gridSpan w:val="3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± 15 %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4" w:type="dxa"/>
            <w:vMerge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0,3–0,5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0,6–0,8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0,9–1,0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0,3–0,5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0,6–0,8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0,9–1,0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1244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2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1244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3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1244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4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1244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6–7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4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1244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8–10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5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1244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11–15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5</w:t>
            </w:r>
          </w:p>
        </w:tc>
      </w:tr>
      <w:tr w:rsidR="002E15AD" w:rsidRPr="002E15AD" w:rsidTr="00033EC2">
        <w:tblPrEx>
          <w:tblCellMar>
            <w:top w:w="0" w:type="dxa"/>
            <w:bottom w:w="0" w:type="dxa"/>
          </w:tblCellMar>
        </w:tblPrEx>
        <w:tc>
          <w:tcPr>
            <w:tcW w:w="1244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16–20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–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–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–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245" w:type="dxa"/>
          </w:tcPr>
          <w:p w:rsidR="002E15AD" w:rsidRPr="002E15AD" w:rsidRDefault="002E15AD" w:rsidP="002E15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2E15AD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6</w:t>
            </w:r>
          </w:p>
        </w:tc>
      </w:tr>
    </w:tbl>
    <w:p w:rsidR="002E15AD" w:rsidRPr="002E15AD" w:rsidRDefault="002E15AD" w:rsidP="002E15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2E15AD" w:rsidRDefault="002E15AD" w:rsidP="002E15AD">
      <w:bookmarkStart w:id="6" w:name="_GoBack"/>
      <w:bookmarkEnd w:id="6"/>
    </w:p>
    <w:sectPr w:rsidR="002E1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1486"/>
    <w:multiLevelType w:val="multilevel"/>
    <w:tmpl w:val="97923714"/>
    <w:lvl w:ilvl="0">
      <w:start w:val="1"/>
      <w:numFmt w:val="decimal"/>
      <w:lvlText w:val="%1.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58"/>
        </w:tabs>
        <w:ind w:left="1758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5"/>
        </w:tabs>
        <w:ind w:left="2325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4"/>
        </w:tabs>
        <w:ind w:left="171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8"/>
        </w:tabs>
        <w:ind w:left="185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200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6"/>
        </w:tabs>
        <w:ind w:left="214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4"/>
        </w:tabs>
        <w:ind w:left="2434" w:hanging="1584"/>
      </w:pPr>
      <w:rPr>
        <w:rFonts w:hint="default"/>
      </w:rPr>
    </w:lvl>
  </w:abstractNum>
  <w:abstractNum w:abstractNumId="1">
    <w:nsid w:val="1A5E4457"/>
    <w:multiLevelType w:val="hybridMultilevel"/>
    <w:tmpl w:val="330A7368"/>
    <w:lvl w:ilvl="0" w:tplc="0C66F7C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64DD2D2A"/>
    <w:multiLevelType w:val="hybridMultilevel"/>
    <w:tmpl w:val="330A7368"/>
    <w:lvl w:ilvl="0" w:tplc="F7A6525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5AD"/>
    <w:rsid w:val="002E15AD"/>
    <w:rsid w:val="0054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2272</Words>
  <Characters>12953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1</cp:revision>
  <dcterms:created xsi:type="dcterms:W3CDTF">2018-03-21T13:56:00Z</dcterms:created>
  <dcterms:modified xsi:type="dcterms:W3CDTF">2018-03-21T14:00:00Z</dcterms:modified>
</cp:coreProperties>
</file>